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先进集体拟推荐对象名单及简要事迹</w:t>
      </w: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1.合肥市扶贫开发工作办公室</w:t>
      </w:r>
      <w:r>
        <w:rPr>
          <w:rFonts w:hint="eastAsia" w:ascii="Times New Roman" w:hAnsi="Times New Roman" w:eastAsia="方正仿宋_GBK"/>
          <w:sz w:val="36"/>
          <w:szCs w:val="36"/>
        </w:rPr>
        <w:t>。该单位始终</w:t>
      </w:r>
      <w:r>
        <w:rPr>
          <w:rFonts w:ascii="Times New Roman" w:hAnsi="Times New Roman" w:eastAsia="方正仿宋_GBK"/>
          <w:sz w:val="36"/>
          <w:szCs w:val="36"/>
        </w:rPr>
        <w:t>坚持高位推进，充分发挥扶贫办牵头抓总、组织协调、调度推进作用，力促责任落实。坚持问题导向，市扶贫办开展围点督查、闭环调度、专题督导、督办通报、约谈预警，力促工作落实。坚持源头管控，狠抓精准识别、精准退出关，在全省率先开展分类管理、动态清零，力促数据精准。坚持广开渠道，积极协调群团党派等开展青年、妇女、企业帮扶工作，凝聚攻坚合力。</w:t>
      </w:r>
      <w:bookmarkStart w:id="0" w:name="_GoBack"/>
      <w:bookmarkEnd w:id="0"/>
      <w:r>
        <w:rPr>
          <w:rFonts w:ascii="Times New Roman" w:hAnsi="Times New Roman" w:eastAsia="方正仿宋_GBK"/>
          <w:sz w:val="36"/>
          <w:szCs w:val="36"/>
        </w:rPr>
        <w:t>坚持工作创新，市扶贫办在全国率先探索实施了“光伏扶贫”、分类管理等精准帮扶模式，推动成效提升。2014年-2020年，全市21.56万人实现脱贫，112个贫困村全部出列，贫困群众人均纯收入从2720元增长到13130元，增长4.83倍；112个贫困村平均集体经济收入从1.08万元增长到43万元，67个村集体收入达到50万元。</w:t>
      </w: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2</w:t>
      </w:r>
      <w:r>
        <w:rPr>
          <w:rFonts w:hint="eastAsia" w:ascii="Times New Roman" w:hAnsi="Times New Roman" w:eastAsia="方正仿宋_GBK"/>
          <w:sz w:val="36"/>
          <w:szCs w:val="36"/>
        </w:rPr>
        <w:t>.</w:t>
      </w:r>
      <w:r>
        <w:rPr>
          <w:rFonts w:ascii="Times New Roman" w:hAnsi="Times New Roman" w:eastAsia="方正仿宋_GBK"/>
          <w:sz w:val="36"/>
          <w:szCs w:val="36"/>
        </w:rPr>
        <w:t>阜阳市扶贫开发局</w:t>
      </w:r>
      <w:r>
        <w:rPr>
          <w:rFonts w:hint="eastAsia" w:ascii="Times New Roman" w:hAnsi="Times New Roman" w:eastAsia="方正仿宋_GBK"/>
          <w:sz w:val="36"/>
          <w:szCs w:val="36"/>
        </w:rPr>
        <w:t>。该单位</w:t>
      </w:r>
      <w:r>
        <w:rPr>
          <w:rFonts w:ascii="Times New Roman" w:hAnsi="Times New Roman" w:eastAsia="方正仿宋_GBK"/>
          <w:sz w:val="36"/>
          <w:szCs w:val="36"/>
        </w:rPr>
        <w:t>始终坚持精准扶贫精准脱贫基本方略，聚焦“两不愁三保障”及饮水安全核心指标，如期实现了100.99万贫困人口脱贫、516个贫困村出列、8个贫困县摘帽。立足工作实际，制定出台《关于坚决打赢脱贫攻坚战的决定》及产业就业、基础设施建设、财政金融、“双基”等脱贫攻坚“1+24”政策配套体系。推动建立调度机制</w:t>
      </w:r>
      <w:r>
        <w:rPr>
          <w:rFonts w:hint="eastAsia" w:ascii="Times New Roman" w:hAnsi="Times New Roman" w:eastAsia="方正仿宋_GBK"/>
          <w:sz w:val="36"/>
          <w:szCs w:val="36"/>
        </w:rPr>
        <w:t>，</w:t>
      </w:r>
      <w:r>
        <w:rPr>
          <w:rFonts w:ascii="Times New Roman" w:hAnsi="Times New Roman" w:eastAsia="方正仿宋_GBK"/>
          <w:sz w:val="36"/>
          <w:szCs w:val="36"/>
        </w:rPr>
        <w:t>建立了脱贫攻坚十大工程调度联络机制、“月点评、季抽查、季通报、季调度”制度、市直单位帮扶联络小组制度等，推动政策措施落实到位。2021年荣获安徽省“千企帮千村”精准扶贫行动先进集体，全国妇联表彰为全国巾帼文明岗等荣誉称号。</w:t>
      </w: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3.宿州市扶贫开发局。该单位秉承“开局就是决战、扛责就要冲锋”的奋斗姿态，全</w:t>
      </w:r>
      <w:r>
        <w:rPr>
          <w:rFonts w:hint="eastAsia" w:ascii="Times New Roman" w:hAnsi="Times New Roman" w:eastAsia="方正仿宋_GBK"/>
          <w:sz w:val="36"/>
          <w:szCs w:val="36"/>
        </w:rPr>
        <w:t>面</w:t>
      </w:r>
      <w:r>
        <w:rPr>
          <w:rFonts w:ascii="Times New Roman" w:hAnsi="Times New Roman" w:eastAsia="方正仿宋_GBK"/>
          <w:sz w:val="36"/>
          <w:szCs w:val="36"/>
        </w:rPr>
        <w:t>打赢</w:t>
      </w:r>
      <w:r>
        <w:rPr>
          <w:rFonts w:hint="eastAsia" w:ascii="Times New Roman" w:hAnsi="Times New Roman" w:eastAsia="方正仿宋_GBK"/>
          <w:sz w:val="36"/>
          <w:szCs w:val="36"/>
        </w:rPr>
        <w:t>打好</w:t>
      </w:r>
      <w:r>
        <w:rPr>
          <w:rFonts w:ascii="Times New Roman" w:hAnsi="Times New Roman" w:eastAsia="方正仿宋_GBK"/>
          <w:sz w:val="36"/>
          <w:szCs w:val="36"/>
        </w:rPr>
        <w:t>脱贫攻坚</w:t>
      </w:r>
      <w:r>
        <w:rPr>
          <w:rFonts w:hint="eastAsia" w:ascii="Times New Roman" w:hAnsi="Times New Roman" w:eastAsia="方正仿宋_GBK"/>
          <w:sz w:val="36"/>
          <w:szCs w:val="36"/>
        </w:rPr>
        <w:t>战</w:t>
      </w:r>
      <w:r>
        <w:rPr>
          <w:rFonts w:ascii="Times New Roman" w:hAnsi="Times New Roman" w:eastAsia="方正仿宋_GBK"/>
          <w:sz w:val="36"/>
          <w:szCs w:val="36"/>
        </w:rPr>
        <w:t>。切实发挥脱贫攻坚牵头协调作用，紧盯“两不愁三保障”核心指标，深入实施脱贫攻坚“十大工程”，全市61.27万建档立卡贫困人口全部脱贫。该单位干部职工忠于职守、苦干实干，发扬“五加二”“白加黑”精神，轻伤不下火线，舍小家顾大家，以铁军精神践行扶贫人的使命担当。结合宿州实际，</w:t>
      </w:r>
      <w:r>
        <w:rPr>
          <w:rFonts w:hint="eastAsia" w:ascii="Times New Roman" w:hAnsi="Times New Roman" w:eastAsia="方正仿宋_GBK"/>
          <w:sz w:val="36"/>
          <w:szCs w:val="36"/>
        </w:rPr>
        <w:t>探索出</w:t>
      </w:r>
      <w:r>
        <w:rPr>
          <w:rFonts w:ascii="Times New Roman" w:hAnsi="Times New Roman" w:eastAsia="方正仿宋_GBK"/>
          <w:sz w:val="36"/>
          <w:szCs w:val="36"/>
        </w:rPr>
        <w:t>驻村帮扶、金融扶贫、扶贫扶志、产业扶贫、电商扶贫等特色做法</w:t>
      </w:r>
      <w:r>
        <w:rPr>
          <w:rFonts w:hint="eastAsia" w:ascii="Times New Roman" w:hAnsi="Times New Roman" w:eastAsia="方正仿宋_GBK"/>
          <w:sz w:val="36"/>
          <w:szCs w:val="36"/>
        </w:rPr>
        <w:t>在全省推广实施</w:t>
      </w:r>
      <w:r>
        <w:rPr>
          <w:rFonts w:ascii="Times New Roman" w:hAnsi="Times New Roman" w:eastAsia="方正仿宋_GBK"/>
          <w:sz w:val="36"/>
          <w:szCs w:val="36"/>
        </w:rPr>
        <w:t>。获得2019年度安徽省脱贫攻坚十大工程先锋集体、2020年全国农村饮水安全脱贫攻坚先进集体。</w:t>
      </w: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4.安庆市扶贫开发工作办公室。近年来，该单位始终准确把握“市抓落实”角色定位，主动作为，助推全市脱贫目标任务如期高质量完成。坚持党建引领。出台脱贫攻坚一线干部激励关怀办法；实现贫困村第一书记和驻村扶贫工作队全覆盖；组织全市1330家机关单位党组织、8.6万名党员干部结对帮扶贫困户、贫困村，推动资源和力量下沉一线。聚焦精准方略</w:t>
      </w:r>
      <w:r>
        <w:rPr>
          <w:rFonts w:hint="eastAsia" w:ascii="Times New Roman" w:hAnsi="Times New Roman" w:eastAsia="方正仿宋_GBK"/>
          <w:sz w:val="36"/>
          <w:szCs w:val="36"/>
        </w:rPr>
        <w:t>，</w:t>
      </w:r>
      <w:r>
        <w:rPr>
          <w:rFonts w:ascii="Times New Roman" w:hAnsi="Times New Roman" w:eastAsia="方正仿宋_GBK"/>
          <w:sz w:val="36"/>
          <w:szCs w:val="36"/>
        </w:rPr>
        <w:t>建立“清单管理、专班推进”“定期调度、双向评价”机制；制定县（市、区）十大工程、定点帮扶、工作专班等清单；采取“小处方”式一封信、通报、督办等方式开展调度，提升工作水平和成效。贫困群众人均年收入从2014年0.44万元增至2020年1.345万元；贫困地区行路难、吃水难、用电难、通信难、上学难、就医难等问题得到历史性解决；“市抓落实”做法</w:t>
      </w:r>
      <w:r>
        <w:rPr>
          <w:rFonts w:hint="eastAsia" w:ascii="Times New Roman" w:hAnsi="Times New Roman" w:eastAsia="方正仿宋_GBK"/>
          <w:sz w:val="36"/>
          <w:szCs w:val="36"/>
        </w:rPr>
        <w:t>在</w:t>
      </w:r>
      <w:r>
        <w:rPr>
          <w:rFonts w:ascii="Times New Roman" w:hAnsi="Times New Roman" w:eastAsia="方正仿宋_GBK"/>
          <w:sz w:val="36"/>
          <w:szCs w:val="36"/>
        </w:rPr>
        <w:t>国务院扶贫办《扶贫信息》简报、中国扶贫微信公众号专刊印发。</w:t>
      </w: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5.黄山市黄山区扶贫开发局。该单位坚持以求真务实、顽强果敢的作风坚决打好脱贫攻坚战，到2020年底全区9116人实现脱贫。规范扶贫和移民项目管理，先后出台了项目规范化管理有关文件，配套制作了大量的参考实例和规范文本，黄山区扶贫资金绩效评价连续四年为“优秀”等次。建立的预防返贫分级预警分类管理机制获省内经验交流、在全市加以推广，其试点的公益采购、定向采购、助销采购三种消费扶贫模式实绩斐然。局领导班子连续三年（2017年-2019年）被区委评为“好领导班子”，省级脱贫攻坚成效考核全部位列“较好”以上等次，1名干部荣获“全国脱贫攻坚先进个人”。</w:t>
      </w:r>
    </w:p>
    <w:p>
      <w:pPr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6.亳州市谯城区扶贫开发局</w:t>
      </w:r>
      <w:r>
        <w:rPr>
          <w:rFonts w:hint="eastAsia" w:ascii="Times New Roman" w:hAnsi="Times New Roman" w:eastAsia="方正仿宋_GBK"/>
          <w:sz w:val="36"/>
          <w:szCs w:val="36"/>
        </w:rPr>
        <w:t>。该单位</w:t>
      </w:r>
      <w:r>
        <w:rPr>
          <w:rFonts w:ascii="Times New Roman" w:hAnsi="Times New Roman" w:eastAsia="方正仿宋_GBK"/>
          <w:sz w:val="36"/>
          <w:szCs w:val="36"/>
        </w:rPr>
        <w:t>坚持党建引领脱贫攻坚，</w:t>
      </w:r>
      <w:r>
        <w:rPr>
          <w:rFonts w:hint="eastAsia" w:ascii="Times New Roman" w:hAnsi="Times New Roman" w:eastAsia="方正仿宋_GBK"/>
          <w:sz w:val="36"/>
          <w:szCs w:val="36"/>
        </w:rPr>
        <w:t>推动脱贫攻坚任务全面完成。</w:t>
      </w:r>
      <w:r>
        <w:rPr>
          <w:rFonts w:ascii="Times New Roman" w:hAnsi="Times New Roman" w:eastAsia="方正仿宋_GBK"/>
          <w:sz w:val="36"/>
          <w:szCs w:val="36"/>
        </w:rPr>
        <w:t>广泛凝聚脱贫攻坚合力，积极动员机关事业单位及社会各界力量参与脱贫攻坚工作，全区34944户贫困户均有镇级以上帮扶责任人，选优配强自然村扶贫小组长3439名，打通政策落实“最后一公里”。坚持“精准扶贫、精准脱贫”基本方略，聚焦脱贫攻坚“十大工程”，大力推广“四带一自”产业扶贫，积极开展消费扶贫新模式，提高贫困群众参与度和直接受益水平。2020年谯城区贫困群众人均纯收入达9233元，较2014年增长262.2%。建立健全防范返贫致贫动态监测机制，</w:t>
      </w:r>
      <w:r>
        <w:rPr>
          <w:rFonts w:hint="eastAsia" w:ascii="Times New Roman" w:hAnsi="Times New Roman" w:eastAsia="方正仿宋_GBK"/>
          <w:sz w:val="36"/>
          <w:szCs w:val="36"/>
        </w:rPr>
        <w:t>建档立卡</w:t>
      </w:r>
      <w:r>
        <w:rPr>
          <w:rFonts w:ascii="Times New Roman" w:hAnsi="Times New Roman" w:eastAsia="方正仿宋_GBK"/>
          <w:sz w:val="36"/>
          <w:szCs w:val="36"/>
        </w:rPr>
        <w:t>数据质量连续6次获全省第一，2017</w:t>
      </w:r>
      <w:r>
        <w:rPr>
          <w:rFonts w:hint="eastAsia" w:ascii="Times New Roman" w:hAnsi="Times New Roman" w:eastAsia="方正仿宋_GBK"/>
          <w:sz w:val="36"/>
          <w:szCs w:val="36"/>
        </w:rPr>
        <w:t>年—</w:t>
      </w:r>
      <w:r>
        <w:rPr>
          <w:rFonts w:ascii="Times New Roman" w:hAnsi="Times New Roman" w:eastAsia="方正仿宋_GBK"/>
          <w:sz w:val="36"/>
          <w:szCs w:val="36"/>
        </w:rPr>
        <w:t>2019</w:t>
      </w:r>
      <w:r>
        <w:rPr>
          <w:rFonts w:hint="eastAsia" w:ascii="Times New Roman" w:hAnsi="Times New Roman" w:eastAsia="方正仿宋_GBK"/>
          <w:sz w:val="36"/>
          <w:szCs w:val="36"/>
        </w:rPr>
        <w:t>年</w:t>
      </w:r>
      <w:r>
        <w:rPr>
          <w:rFonts w:ascii="Times New Roman" w:hAnsi="Times New Roman" w:eastAsia="方正仿宋_GBK"/>
          <w:sz w:val="36"/>
          <w:szCs w:val="36"/>
        </w:rPr>
        <w:t>连续三年在全省脱贫攻坚年度考核中获得“好”的等次</w:t>
      </w:r>
      <w:r>
        <w:rPr>
          <w:rFonts w:hint="eastAsia" w:ascii="Times New Roman" w:hAnsi="Times New Roman" w:eastAsia="方正仿宋_GBK"/>
          <w:sz w:val="36"/>
          <w:szCs w:val="36"/>
        </w:rPr>
        <w:t>。</w:t>
      </w:r>
    </w:p>
    <w:p>
      <w:pPr>
        <w:pStyle w:val="5"/>
        <w:spacing w:after="0" w:line="600" w:lineRule="exact"/>
        <w:ind w:left="0" w:leftChars="0" w:firstLine="0" w:firstLineChars="0"/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pStyle w:val="5"/>
        <w:spacing w:after="0" w:line="600" w:lineRule="exact"/>
        <w:ind w:left="0" w:leftChars="0" w:firstLine="0" w:firstLineChars="0"/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pStyle w:val="5"/>
        <w:spacing w:after="0" w:line="600" w:lineRule="exact"/>
        <w:ind w:left="0" w:leftChars="0" w:firstLine="0" w:firstLineChars="0"/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pStyle w:val="5"/>
        <w:spacing w:after="0" w:line="600" w:lineRule="exact"/>
        <w:ind w:left="0" w:leftChars="0" w:firstLine="0" w:firstLineChars="0"/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pStyle w:val="5"/>
        <w:spacing w:after="0" w:line="600" w:lineRule="exact"/>
        <w:ind w:left="0" w:leftChars="0" w:firstLine="0" w:firstLineChars="0"/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pStyle w:val="5"/>
        <w:spacing w:after="0" w:line="600" w:lineRule="exact"/>
        <w:ind w:left="0" w:leftChars="0" w:firstLine="0" w:firstLineChars="0"/>
        <w:rPr>
          <w:rFonts w:ascii="Times New Roman" w:hAnsi="Times New Roman" w:eastAsia="方正仿宋_GBK"/>
          <w:sz w:val="36"/>
          <w:szCs w:val="36"/>
        </w:rPr>
      </w:pPr>
    </w:p>
    <w:p>
      <w:pPr>
        <w:spacing w:line="620" w:lineRule="exact"/>
        <w:ind w:right="1560"/>
        <w:rPr>
          <w:rFonts w:hint="eastAsia"/>
        </w:rPr>
      </w:pPr>
    </w:p>
    <w:sectPr>
      <w:footerReference r:id="rId3" w:type="default"/>
      <w:pgSz w:w="11906" w:h="16838"/>
      <w:pgMar w:top="187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04299"/>
    <w:rsid w:val="00111BC7"/>
    <w:rsid w:val="00192835"/>
    <w:rsid w:val="001C7599"/>
    <w:rsid w:val="00511262"/>
    <w:rsid w:val="007F3746"/>
    <w:rsid w:val="00A922A2"/>
    <w:rsid w:val="00EB1137"/>
    <w:rsid w:val="00EC7D92"/>
    <w:rsid w:val="00FB0BDB"/>
    <w:rsid w:val="0BBA2A24"/>
    <w:rsid w:val="0D11141E"/>
    <w:rsid w:val="11E04299"/>
    <w:rsid w:val="12C46B49"/>
    <w:rsid w:val="1525254D"/>
    <w:rsid w:val="158C680D"/>
    <w:rsid w:val="15AC040D"/>
    <w:rsid w:val="18FF6FE0"/>
    <w:rsid w:val="1E4C6DD6"/>
    <w:rsid w:val="1EF77EBF"/>
    <w:rsid w:val="20065F4C"/>
    <w:rsid w:val="2CF34B42"/>
    <w:rsid w:val="2E923190"/>
    <w:rsid w:val="32400565"/>
    <w:rsid w:val="34E72384"/>
    <w:rsid w:val="4BC62A73"/>
    <w:rsid w:val="51B10100"/>
    <w:rsid w:val="59CF21A4"/>
    <w:rsid w:val="5E585ED1"/>
    <w:rsid w:val="5F3F37D8"/>
    <w:rsid w:val="607B03DD"/>
    <w:rsid w:val="685F0FA0"/>
    <w:rsid w:val="69FB349C"/>
    <w:rsid w:val="6FFB7EDA"/>
    <w:rsid w:val="72E02D4F"/>
    <w:rsid w:val="78FE1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281</Words>
  <Characters>1603</Characters>
  <Lines>13</Lines>
  <Paragraphs>3</Paragraphs>
  <TotalTime>1</TotalTime>
  <ScaleCrop>false</ScaleCrop>
  <LinksUpToDate>false</LinksUpToDate>
  <CharactersWithSpaces>1881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2021-05-06T09:43:00Z</dcterms:created>
  <dc:creator>傲雪</dc:creator>
  <cp:lastModifiedBy>qhtf</cp:lastModifiedBy>
  <cp:lastPrinted>2021-05-06T07:14:00Z</cp:lastPrinted>
  <dcterms:modified xsi:type="dcterms:W3CDTF">2021-05-07T02:01:50Z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0_btnclosed</vt:lpwstr>
  </property>
  <property fmtid="{D5CDD505-2E9C-101B-9397-08002B2CF9AE}" pid="4" name="ICV">
    <vt:lpwstr>C50E3E01FE814FF9A314C58686C3ADD6</vt:lpwstr>
  </property>
</Properties>
</file>